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中国民主建国会天津市委员会</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10</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中国民主建国会天津市委员会</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贯彻中国共产党与民主党派“长期共存、互相监督、肝胆相照、荣辱与共”的方针，自觉接受中国共产党的领导，积极开展参政议政、民主监督、政治协商和社会服务等工作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中国民主建国会天津市委员会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部门本级（内设7个职能处室）。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中国民主建国会天津市委员会</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14489193.21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12624061.12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1243471.43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621660.66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14489193.21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14489193.21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14489193.21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14489193.21</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中国民主建国会天津市委员会</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14489193.21</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14489193.21</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12624061.12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12624061.12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民主党派及工商联事务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12624061.12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12624061.12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11444163.61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11444163.61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一般行政管理事务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159800.00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159800.00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参政议政</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1020097.51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1020097.51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1243471.43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1243471.43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1243471.43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1243471.43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828988.71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828988.71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414482.72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414482.72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621660.66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621660.66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621660.66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621660.66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518039.98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518039.98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公务员医疗补助</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103620.68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103620.68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中国民主建国会天津市委员会</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14489193.21</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14489193.21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14489193.21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553301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中国民主建国会天津市委员会</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14489193.21</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14489193.21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14489193.21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中国民主建国会天津市委员会</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553301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中国民主建国会天津市委员会</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中国民主建国会天津市委员会</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14489193.21</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13309295.70</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1179897.51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一般公共服务支出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12624061.12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11444163.61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1179897.51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民主党派及工商联事务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12624061.12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11444163.61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1179897.51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11444163.61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11444163.61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一般行政管理事务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159800.00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159800.00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参政议政</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1020097.51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1020097.51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1243471.43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1243471.43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1243471.43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1243471.43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828988.71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828988.71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414482.72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414482.72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621660.66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621660.66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621660.66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621660.66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518039.98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518039.98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公务员医疗补助</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103620.68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103620.68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中国民主建国会天津市委员会</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14489193.21</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12624061.12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12624061.12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1243471.43</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1243471.43</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621660.66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621660.66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14489193.21</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14489193.21</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14489193.21</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14489193.21</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14489193.21</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14489193.21</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中国民主建国会天津市委员会</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14489193.21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13309295.70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12037254.19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1272041.51</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1179897.51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一般公共服务支出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12624061.12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11444163.61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10172122.10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1272041.51</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1179897.51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民主党派及工商联事务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12624061.12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11444163.61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10172122.10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1272041.51</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1179897.51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11444163.61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11444163.61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10172122.10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1272041.51</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一般行政管理事务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159800.00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159800.00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参政议政</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1020097.51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1020097.51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1243471.43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1243471.43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1243471.43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1243471.43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1243471.43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1243471.43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828988.71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828988.71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828988.71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414482.72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414482.72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414482.72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621660.66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621660.66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621660.66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621660.66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621660.66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621660.66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518039.98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518039.98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518039.98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公务员医疗补助</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103620.68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103620.68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103620.68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中国民主建国会天津市委员会</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11811768.19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1247741.51</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2287559.80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24300.00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2408550.00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71099.00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2156197.67</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2884.00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24300.00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29999.44</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828988.71</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24000.00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414482.72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5877.75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518039.98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74250.00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103620.68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36268.63</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2757060.00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301000.00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225486.00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3914.00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177396.00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6060.00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79000.00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6999.15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421780.00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160938.17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12037254.19</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1272041.51</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中国民主建国会天津市委员会</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中国民主建国会天津市委员会2025年度政府性基金预算财政拨款收入支出决算表为空表。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中国民主建国会天津市委员会</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中国民主建国会天津市委员会2025年度国有资本经营预算财政拨款收入支出决算表为空表。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中国民主建国会天津市委员会</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10913.15</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6999.15</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6999.15</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3914.00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中国民主建国会天津市委员会</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1179897.51</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1179897.51</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一般公共服务支出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1179897.51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1179897.51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民主党派及工商联事务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1179897.51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1179897.51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一般行政管理事务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159800.00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159800.00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参政议政</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1020097.51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1020097.51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中国民主建国会天津市委员会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14,489,193.21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增加1,496,329.30元，增长11.52%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人员增加，人员经费增加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一般公共预算财政拨款收入14,489,193.21元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bookmarkStart w:id="17" w:name="_Toc6621"/>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一般公共服务支出12,624,061.12元、社会保障和就业支出1,243,471.43元、卫生健康支出621,660.66元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中国民主建国会天津市委员会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14,489,193.21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增加1,496,329.30元，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人员增加，人员经费增加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一般公共预算财政拨款收入14,489,193.21元，占100.00%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中国民主建国会天津市委员会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14,489,193.21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增加1,498,077.28元，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人员增加，人员经费增加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基本支出13,309,295.70元，占91.86%；项目支出1,179,897.51元，占8.14%</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中国民主建国会天津市委员会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14,489,193.21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增加1,496,411.05元，增长11.52%，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人员增加，人员经费增加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一般公共预算财政拨款14,489,193.21元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一般公共服务支出12,624,061.12元、社会保障和就业支出1,243,471.43元、卫生健康支出621,660.66元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中国民主建国会天津市委员会2025年度一般公共预算财政拨款支出合计14,489,193.21元，占本年支出合计的100.00%。与2024年度相比，一般公共预算财政拨款支出</w:t>
      </w:r>
      <w:r>
        <w:rPr>
          <w:rFonts w:eastAsia="仿宋_GB2312" w:hint="eastAsia"/>
          <w:sz w:val="30"/>
          <w:szCs w:val="30"/>
          <w:highlight w:val="none"/>
          <w:lang w:val="en-US" w:eastAsia="zh-CN"/>
        </w:rPr>
        <w:t xml:space="preserve">增加1,498,077.28元</w:t>
      </w:r>
      <w:r>
        <w:rPr>
          <w:rFonts w:eastAsia="仿宋_GB2312" w:hint="eastAsia"/>
          <w:sz w:val="30"/>
          <w:szCs w:val="30"/>
          <w:highlight w:val="none"/>
          <w:lang w:val="en-US" w:eastAsia="zh-CN"/>
        </w:rPr>
        <w:t xml:space="preserve">，增长11.53%</w:t>
      </w:r>
      <w:r>
        <w:rPr>
          <w:rFonts w:eastAsia="仿宋_GB2312" w:hint="eastAsia"/>
          <w:sz w:val="30"/>
          <w:szCs w:val="30"/>
          <w:highlight w:val="none"/>
          <w:lang w:val="en-US" w:eastAsia="zh-CN"/>
        </w:rPr>
        <w:t xml:space="preserve">，主要原因是人员增加，人员经费增加。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2025年度一般公共预算财政拨款支出14,489,193.21元，主要用于以下方面：</w:t>
      </w:r>
      <w:r>
        <w:rPr>
          <w:rFonts w:eastAsia="仿宋_GB2312" w:hint="eastAsia"/>
          <w:sz w:val="30"/>
          <w:szCs w:val="30"/>
          <w:highlight w:val="none"/>
        </w:rPr>
        <w:t xml:space="preserve">一般公共服务支出（类）支出12,624,061.12元，占87.13%，社会保障和就业支出（类）支出1,243,471.43元，占8.58%，卫生健康支出（类）支出621,660.66元，占4.29%</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2025年度一般公共预算财政拨款支出年初预算为12,850,000.00元，支出决算为14,489,193.21元</w:t>
      </w:r>
      <w:r>
        <w:rPr>
          <w:rFonts w:eastAsia="仿宋_GB2312" w:hint="eastAsia"/>
          <w:sz w:val="30"/>
          <w:szCs w:val="30"/>
          <w:highlight w:val="none"/>
          <w:lang w:val="en-US" w:eastAsia="zh-CN"/>
        </w:rPr>
        <w:t xml:space="preserve">，完成年初预算的112.76%</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一般公共服务支出（类）民主党派及工商联事务（款）行政运行（项）年初预算为9,825,000.00元，支出决算为11,444,163.61元，完成年初预算的116.48%，决算数大于年初预算数的主要原因是：人员调入，年中增加人员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2.一般公共服务支出（类）民主党派及工商联事务（款）一般行政管理事务（项）年初预算为160,000.00元，支出决算为159,800.00元，完成年初预算的99.88%，决算数小于年初预算数的主要原因是：严格按照预算执行。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3.一般公共服务支出（类）民主党派及工商联事务（款）参政议政（项）年初预算为1,050,000.00元，支出决算为1,020,097.51元，完成年初预算的97.15%，决算数小于年初预算数的主要原因是：厉行节约，缩减经费支出。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行政事业单位养老支出（款）机关事业单位基本养老保险缴费支出（项）年初预算为796,000.00元，支出决算为828,988.71元，完成年初预算的104.14%，决算数大于年初预算数的主要原因是：人员调入，年中增加人员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职业年金缴费支出（项）年初预算为398,000.00元，支出决算为414,482.72元，完成年初预算的104.14%，决算数大于年初预算数的主要原因是：人员调入，年中增加人员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6.卫生健康支出（类）行政事业单位医疗（款）行政单位医疗（项）年初预算为522,000.00元，支出决算为518,039.98元，完成年初预算的99.24%，决算数小于年初预算数的主要原因是：严格按照预算执行。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7.卫生健康支出（类）行政事业单位医疗（款）公务员医疗补助（项）年初预算为99,000.00元，支出决算为103,620.68元，完成年初预算的104.67%，决算数大于年初预算数的主要原因是：人员调入，年中增加人员经费。</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中国民主建国会天津市委员会2025年度一般公共预算财政拨款基本支出合计13,309,295.70元，与2024年度相比</w:t>
      </w:r>
      <w:r>
        <w:rPr>
          <w:rFonts w:eastAsia="仿宋_GB2312" w:hint="eastAsia"/>
          <w:sz w:val="30"/>
          <w:szCs w:val="30"/>
          <w:highlight w:val="none"/>
          <w:lang w:val="en-US" w:eastAsia="zh-CN"/>
        </w:rPr>
        <w:t xml:space="preserve">增加1,426,380.06元，</w:t>
      </w:r>
      <w:r>
        <w:rPr>
          <w:rFonts w:eastAsia="仿宋_GB2312" w:hint="eastAsia"/>
          <w:sz w:val="30"/>
          <w:szCs w:val="30"/>
          <w:highlight w:val="none"/>
          <w:lang w:val="en-US" w:eastAsia="zh-CN"/>
        </w:rPr>
        <w:t xml:space="preserve">主要原因是人员增加，人员经费增加。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人员经费12,037,254.19元，主要包括</w:t>
      </w:r>
      <w:r>
        <w:rPr>
          <w:rFonts w:eastAsia="仿宋_GB2312" w:hint="eastAsia"/>
          <w:sz w:val="30"/>
          <w:szCs w:val="30"/>
          <w:highlight w:val="none"/>
          <w:lang w:val="en-US" w:eastAsia="zh-CN"/>
        </w:rPr>
        <w:t xml:space="preserve">基本工资、津贴补贴、奖金、机关事业单位基本养老保险缴费、职业年金缴费、职工基本医疗保险缴费、公务员医疗补助缴费、其他社会保障缴费、住房公积金、其他工资福利支出、退休费、生活补助、奖励金、其他对个人和家庭的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公用经费1,272,041.51元，主要包括</w:t>
      </w:r>
      <w:r>
        <w:rPr>
          <w:rFonts w:eastAsia="仿宋_GB2312" w:hint="eastAsia"/>
          <w:sz w:val="30"/>
          <w:szCs w:val="30"/>
          <w:highlight w:val="none"/>
          <w:lang w:val="en-US" w:eastAsia="zh-CN"/>
        </w:rPr>
        <w:t xml:space="preserve">办公费、印刷费、手续费、水费、电费、邮电费、取暖费、物业管理费、维修(护)费、公务接待费、工会经费、福利费、公务用车运行维护费、其他交通费用、其他商品和服务支出、办公设备购置</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中国民主建国会天津市委员会2025年度无政府性基金预算财政拨款收入、支出和结转结余。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中国民主建国会天津市委员会2025年度无国有资本经营预算财政拨款收入、支出和结转结余。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11,000.00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10,913.15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减少86.85元</w:t>
      </w:r>
      <w:r>
        <w:rPr>
          <w:rFonts w:eastAsia="仿宋_GB2312" w:hint="eastAsia"/>
          <w:sz w:val="30"/>
          <w:szCs w:val="30"/>
          <w:highlight w:val="none"/>
          <w:lang w:val="en-US" w:eastAsia="zh-CN"/>
        </w:rPr>
        <w:t xml:space="preserve">，完成预算的99.21%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支出决算较上年增加2,742.27元</w:t>
      </w:r>
      <w:r>
        <w:rPr>
          <w:rFonts w:eastAsia="仿宋_GB2312" w:hint="eastAsia"/>
          <w:sz w:val="30"/>
          <w:szCs w:val="30"/>
          <w:highlight w:val="none"/>
          <w:lang w:val="en-US" w:eastAsia="zh-CN"/>
        </w:rPr>
        <w:t xml:space="preserve">，增长33.56%</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决算数小于预算数的主要原因是落实习惯过紧日子要求，严控“三公”经费支出；</w:t>
      </w:r>
      <w:r>
        <w:rPr>
          <w:rFonts w:eastAsia="仿宋_GB2312" w:hint="eastAsia"/>
          <w:sz w:val="30"/>
          <w:szCs w:val="30"/>
          <w:highlight w:val="none"/>
          <w:lang w:val="en-US" w:eastAsia="zh-CN"/>
        </w:rPr>
        <w:t xml:space="preserve">决算数较上年增加的主要原因是公务接待批次和人数较上年增加。</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决算数与预算数持平的主要原因是本年度未安排因公出国（境）任务；</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7,000.00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6,999.15</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减少0.85元</w:t>
      </w:r>
      <w:r>
        <w:rPr>
          <w:rFonts w:eastAsia="仿宋_GB2312" w:hint="eastAsia"/>
          <w:sz w:val="30"/>
          <w:szCs w:val="30"/>
          <w:highlight w:val="none"/>
          <w:lang w:val="en-US" w:eastAsia="zh-CN"/>
        </w:rPr>
        <w:t xml:space="preserve">，完成预算的99.99%</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支出决算较上年增加25.27元</w:t>
      </w:r>
      <w:r>
        <w:rPr>
          <w:rFonts w:eastAsia="仿宋_GB2312" w:hint="eastAsia"/>
          <w:sz w:val="30"/>
          <w:szCs w:val="30"/>
          <w:highlight w:val="none"/>
          <w:lang w:val="en-US" w:eastAsia="zh-CN"/>
        </w:rPr>
        <w:t xml:space="preserve">，增长0.36%</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决算数小于预算数的主要原因是严控公务用车运行维护费支出，严格按预算执行；</w:t>
      </w:r>
      <w:r>
        <w:rPr>
          <w:rFonts w:eastAsia="仿宋_GB2312" w:hint="eastAsia"/>
          <w:sz w:val="30"/>
          <w:szCs w:val="30"/>
          <w:highlight w:val="none"/>
          <w:lang w:val="en-US" w:eastAsia="zh-CN"/>
        </w:rPr>
        <w:t xml:space="preserve">决算数较上年增加的主要原因是公务用车外出调研等公务出行次数增加，公车运行维护费支出增加。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7,000.00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6,999.15</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减少0.85元</w:t>
      </w:r>
      <w:r>
        <w:rPr>
          <w:rFonts w:eastAsia="仿宋_GB2312" w:hint="eastAsia"/>
          <w:sz w:val="30"/>
          <w:szCs w:val="30"/>
          <w:highlight w:val="none"/>
          <w:lang w:val="en-US" w:eastAsia="zh-CN"/>
        </w:rPr>
        <w:t xml:space="preserve">，完成预算的99.99%</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支出决算较上年增加25.27元</w:t>
      </w:r>
      <w:r>
        <w:rPr>
          <w:rFonts w:eastAsia="仿宋_GB2312" w:hint="eastAsia"/>
          <w:sz w:val="30"/>
          <w:szCs w:val="30"/>
          <w:highlight w:val="none"/>
          <w:lang w:val="en-US" w:eastAsia="zh-CN"/>
        </w:rPr>
        <w:t xml:space="preserve">，增长0.36%</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决算数小于预算数的主要原因是严控公务用车运行维护费支出，严格按预算执行；</w:t>
      </w:r>
      <w:r>
        <w:rPr>
          <w:rFonts w:eastAsia="仿宋_GB2312" w:hint="eastAsia"/>
          <w:sz w:val="30"/>
          <w:szCs w:val="30"/>
          <w:highlight w:val="none"/>
          <w:lang w:val="en-US" w:eastAsia="zh-CN"/>
        </w:rPr>
        <w:t xml:space="preserve">决算数较上年增加的主要原因是公务用车外出调研等公务出行次数增加，公车运行维护费支出增加。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其中：2辆为机关事务管理局所有。</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3,914.00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减少86.00元</w:t>
      </w:r>
      <w:r>
        <w:rPr>
          <w:rFonts w:eastAsia="仿宋_GB2312" w:hint="eastAsia"/>
          <w:sz w:val="30"/>
          <w:szCs w:val="30"/>
          <w:highlight w:val="none"/>
          <w:lang w:val="en-US" w:eastAsia="zh-CN"/>
        </w:rPr>
        <w:t xml:space="preserve">，完成预算的97.85%</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支出决算较上年增加2,717.00元</w:t>
      </w:r>
      <w:r>
        <w:rPr>
          <w:rFonts w:eastAsia="仿宋_GB2312" w:hint="eastAsia"/>
          <w:sz w:val="30"/>
          <w:szCs w:val="30"/>
          <w:highlight w:val="none"/>
          <w:lang w:val="en-US" w:eastAsia="zh-CN"/>
        </w:rPr>
        <w:t xml:space="preserve">，增长226.98%</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决算数小于预算数的主要原因是严控公务接待费支出，严格按预算执行；</w:t>
      </w:r>
      <w:r>
        <w:rPr>
          <w:rFonts w:eastAsia="仿宋_GB2312" w:hint="eastAsia"/>
          <w:sz w:val="30"/>
          <w:szCs w:val="30"/>
          <w:highlight w:val="none"/>
          <w:lang w:val="en-US" w:eastAsia="zh-CN"/>
        </w:rPr>
        <w:t xml:space="preserve">决算数较上年增加的主要原因是公务接待批次和人数较上年增加。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41</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机关运行经费是指行政单位和参照公务员法管理的事业单位使用财政拨款安排的基本支出中的日常公用经费支出，中国民主建国会天津市委员会2025年度机关运行经费年初预算1,246,000.00元，决算数1,272,041.51元，与年初预算相比</w:t>
      </w:r>
      <w:r>
        <w:rPr>
          <w:rFonts w:eastAsia="仿宋_GB2312" w:hint="eastAsia"/>
          <w:sz w:val="30"/>
          <w:szCs w:val="30"/>
          <w:highlight w:val="none"/>
          <w:lang w:val="en-US" w:eastAsia="zh-CN"/>
        </w:rPr>
        <w:t xml:space="preserve">增加26,041.51元，</w:t>
      </w:r>
      <w:r>
        <w:rPr>
          <w:rFonts w:eastAsia="仿宋_GB2312" w:hint="eastAsia"/>
          <w:sz w:val="30"/>
          <w:szCs w:val="30"/>
          <w:highlight w:val="none"/>
          <w:lang w:val="en-US" w:eastAsia="zh-CN"/>
        </w:rPr>
        <w:t xml:space="preserve">完成年初预算的102.09%；</w:t>
      </w:r>
      <w:r>
        <w:rPr>
          <w:rFonts w:eastAsia="仿宋_GB2312" w:hint="eastAsia"/>
          <w:sz w:val="30"/>
          <w:szCs w:val="30"/>
          <w:highlight w:val="none"/>
          <w:lang w:val="en-US" w:eastAsia="zh-CN"/>
        </w:rPr>
        <w:t xml:space="preserve">比2024年增加71,816.98元</w:t>
      </w:r>
      <w:r>
        <w:rPr>
          <w:rFonts w:eastAsia="仿宋_GB2312" w:hint="eastAsia"/>
          <w:sz w:val="30"/>
          <w:szCs w:val="30"/>
          <w:highlight w:val="none"/>
          <w:lang w:val="en-US" w:eastAsia="zh-CN"/>
        </w:rPr>
        <w:t xml:space="preserve">，增长5.98%</w:t>
      </w:r>
      <w:r>
        <w:rPr>
          <w:rFonts w:eastAsia="仿宋_GB2312" w:hint="eastAsia"/>
          <w:sz w:val="30"/>
          <w:szCs w:val="30"/>
          <w:highlight w:val="none"/>
          <w:lang w:val="en-US" w:eastAsia="zh-CN"/>
        </w:rPr>
        <w:t xml:space="preserve">。主要原因是：人员增加，对应公用经费开支有所增加。</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建国会天津市委员会2025年政府采购支出总额24,300.00元，其中：政府采购货物支出24,300.00元、政府采购工程支出0.00元、政府采购服务支出0.00元。授予中小企业合同金额24,300.00元，占政府采购支出总额的100.00%，其中：授予小微企业合同金额24,300.00元，占政府采购支出总额的100.00%；货物采购授予中小企业合同金额占货物支出金额的100.00%，工程采购授予中小企业合同金额占工程支出金额的0.00%，服务采购授予中小企业合同金额占服务支出金额的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中国民主建国会天津市委员会2025年度无国有资产占有使用情况。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根据预算绩效管理要求，中国民主建国会天津市委员会已对3个2025年度市级项目开展绩效自评，涉及金额1,210,000.00元，自评结果已随部门决算一并公开。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本部门2025年度未开展部门评价。</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中国民主建国会天津市委员会不属于乡、镇、街级单位，不涉及公开2025年度教育、医疗卫生、社会保障和就业、住房保障、涉农补贴等民生支出情况。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1D6314CA-4906-4147-A868-570ABD391CB9}"/>
    <w:embedBold r:id="rId2" w:subsetted="1" w:fontKey="{008BBC17-6CF3-47F8-B32E-EF1FBA4CE094}"/>
  </w:font>
  <w:font w:name="Cambria">
    <w:panose1 w:val="02040503050406030204"/>
    <w:charset w:val="00"/>
    <w:family w:val="roman"/>
    <w:pitch w:val="default"/>
    <w:sig w:usb0="E00006FF" w:usb1="420024FF" w:usb2="02000000" w:usb3="00000000" w:csb0="2000019F" w:csb1="00000000"/>
    <w:embedRegular r:id="rId3" w:fontKey="{16BD0E3A-C53A-451D-9008-106FD787CA4C}"/>
  </w:font>
  <w:font w:name="Calibri">
    <w:panose1 w:val="020F0502020204030204"/>
    <w:charset w:val="00"/>
    <w:family w:val="swiss"/>
    <w:pitch w:val="default"/>
    <w:sig w:usb0="E4002EFF" w:usb1="C200247B" w:usb2="00000009" w:usb3="00000000" w:csb0="200001FF" w:csb1="00000000"/>
    <w:embedRegular r:id="rId4" w:fontKey="{CB152DB6-3C02-4746-92B1-451314193C07}"/>
  </w:font>
  <w:font w:name="黑体">
    <w:panose1 w:val="02010609060101010101"/>
    <w:charset w:val="FFFFFF86"/>
    <w:family w:val="auto"/>
    <w:pitch w:val="default"/>
    <w:sig w:usb0="800002BF" w:usb1="38CF7CFA" w:usb2="00000016" w:usb3="00000000" w:csb0="00040001" w:csb1="00000000"/>
    <w:embedRegular r:id="rId5" w:subsetted="1" w:fontKey="{8926A690-53BA-48F1-BE82-4EF6ACF2EBCA}"/>
    <w:embedBold r:id="rId6" w:subsetted="1" w:fontKey="{E5770A06-03C7-4D62-A517-622FA000723E}"/>
  </w:font>
  <w:font w:name="方正小标宋简体">
    <w:altName w:val="黑体"/>
    <w:panose1 w:val="02000000000000000000"/>
    <w:charset w:val="FFFFFF86"/>
    <w:family w:val="auto"/>
    <w:pitch w:val="default"/>
    <w:sig w:usb0="00000001" w:usb1="08000000" w:usb2="00000000" w:usb3="00000000" w:csb0="00040000" w:csb1="00000000"/>
    <w:embedRegular r:id="rId7" w:fontKey="{A93F346D-2E84-4424-92F6-C7B464EA12E2}"/>
    <w:embedBold r:id="rId8" w:fontKey="{70457CCC-B7E6-422B-A6B7-0B654878BFEA}"/>
  </w:font>
  <w:font w:name="仿宋">
    <w:panose1 w:val="02010609060101010101"/>
    <w:charset w:val="FFFFFF86"/>
    <w:family w:val="auto"/>
    <w:pitch w:val="default"/>
    <w:sig w:usb0="800002BF" w:usb1="38CF7CFA" w:usb2="00000016" w:usb3="00000000" w:csb0="00040001" w:csb1="00000000"/>
    <w:embedRegular r:id="rId9" w:subsetted="1" w:fontKey="{097EBCD5-67D6-496B-A0F1-EC3CCF56C3CA}"/>
  </w:font>
  <w:font w:name="方正仿宋_GB2312">
    <w:altName w:val="仿宋"/>
    <w:panose1 w:val="02000000000000000000"/>
    <w:charset w:val="FFFFFF86"/>
    <w:family w:val="auto"/>
    <w:pitch w:val="default"/>
    <w:sig w:usb0="A00002BF" w:usb1="184F6CFA" w:usb2="00000012" w:usb3="00000000" w:csb0="00040001" w:csb1="00000000"/>
    <w:embedRegular r:id="rId10" w:fontKey="{F7D967C9-D748-49AF-ADF4-69601612B580}"/>
  </w:font>
  <w:font w:name="仿宋_GB2312">
    <w:altName w:val="仿宋"/>
    <w:panose1 w:val="02010609030101010101"/>
    <w:charset w:val="FFFFFF86"/>
    <w:family w:val="auto"/>
    <w:pitch w:val="default"/>
    <w:sig w:usb0="00000001" w:usb1="080E0000" w:usb2="00000000" w:usb3="00000000" w:csb0="00040000" w:csb1="00000000"/>
    <w:embedRegular r:id="rId11" w:fontKey="{BE8A6567-9702-47F3-9DFE-5E89ADAE4EEA}"/>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2" w:subsetted="1" w:fontKey="{73B8432E-C487-4CB6-BD53-0DB22109ABE2}"/>
    <w:embedBold r:id="rId13" w:subsetted="1" w:fontKey="{18969D9D-F2BA-4885-BE97-37578F689D2D}"/>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29</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32</Pages>
  <Words>3930</Words>
  <Characters>23360</Characters>
  <Application>WPS Office_12.1.0.28043_F1E327BC-269C-435d-A152-05C5408002CA</Application>
  <DocSecurity>0</DocSecurity>
  <Lines>60</Lines>
  <Paragraphs>16</Paragraphs>
  <ScaleCrop>false</ScaleCrop>
  <Company>Microsoft</Company>
  <LinksUpToDate>false</LinksUpToDate>
  <CharactersWithSpaces>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